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2C3C" w:rsidRPr="006954E6" w:rsidRDefault="00664671">
      <w:pPr>
        <w:tabs>
          <w:tab w:val="center" w:pos="4536"/>
          <w:tab w:val="right" w:pos="9639"/>
        </w:tabs>
        <w:spacing w:after="0" w:line="240" w:lineRule="auto"/>
        <w:ind w:right="2"/>
        <w:rPr>
          <w:rFonts w:ascii="Arial" w:hAnsi="Arial" w:cs="Arial"/>
          <w:b/>
          <w:bCs/>
          <w:sz w:val="22"/>
          <w:szCs w:val="22"/>
        </w:rPr>
      </w:pPr>
      <w:r w:rsidRPr="006954E6">
        <w:rPr>
          <w:rFonts w:ascii="Arial" w:hAnsi="Arial" w:cs="Arial"/>
          <w:b/>
          <w:bCs/>
          <w:sz w:val="22"/>
          <w:szCs w:val="22"/>
        </w:rPr>
        <w:t xml:space="preserve">3GPP TSG RAN WG1 </w:t>
      </w:r>
      <w:r w:rsidRPr="006954E6">
        <w:rPr>
          <w:rFonts w:ascii="Arial" w:hAnsi="Arial" w:cs="Arial" w:hint="eastAsia"/>
          <w:b/>
          <w:bCs/>
          <w:sz w:val="22"/>
          <w:szCs w:val="22"/>
        </w:rPr>
        <w:t>#98</w:t>
      </w:r>
      <w:r w:rsidRPr="006954E6">
        <w:rPr>
          <w:rFonts w:ascii="Arial" w:hAnsi="Arial" w:cs="Arial"/>
          <w:b/>
          <w:bCs/>
          <w:sz w:val="22"/>
          <w:szCs w:val="22"/>
        </w:rPr>
        <w:tab/>
      </w:r>
      <w:r w:rsidRPr="006954E6">
        <w:rPr>
          <w:rFonts w:ascii="Arial" w:hAnsi="Arial" w:cs="Arial"/>
          <w:b/>
          <w:bCs/>
          <w:sz w:val="22"/>
          <w:szCs w:val="22"/>
        </w:rPr>
        <w:tab/>
      </w:r>
      <w:r w:rsidR="006954E6" w:rsidRPr="006954E6">
        <w:rPr>
          <w:rFonts w:ascii="Arial" w:hAnsi="Arial" w:cs="Arial"/>
          <w:b/>
          <w:bCs/>
          <w:sz w:val="22"/>
          <w:szCs w:val="22"/>
        </w:rPr>
        <w:t>R1-1908897</w:t>
      </w:r>
    </w:p>
    <w:p w:rsidR="00F12C3C" w:rsidRDefault="00664671">
      <w:pPr>
        <w:tabs>
          <w:tab w:val="center" w:pos="4536"/>
          <w:tab w:val="right" w:pos="9639"/>
        </w:tabs>
        <w:spacing w:after="0" w:line="240" w:lineRule="auto"/>
        <w:ind w:right="2"/>
        <w:rPr>
          <w:rFonts w:ascii="Arial" w:hAnsi="Arial" w:cs="Arial"/>
          <w:b/>
          <w:bCs/>
          <w:sz w:val="22"/>
          <w:szCs w:val="22"/>
        </w:rPr>
      </w:pPr>
      <w:r>
        <w:rPr>
          <w:rFonts w:ascii="Arial" w:hAnsi="Arial" w:cs="Arial" w:hint="eastAsia"/>
          <w:b/>
          <w:bCs/>
          <w:sz w:val="22"/>
          <w:szCs w:val="22"/>
          <w:lang w:eastAsia="ja-JP"/>
        </w:rPr>
        <w:t xml:space="preserve">Prague, CZ, August </w:t>
      </w:r>
      <w:r>
        <w:rPr>
          <w:rFonts w:ascii="Arial" w:eastAsia="MS Mincho" w:hAnsi="Arial" w:cs="Arial"/>
          <w:b/>
          <w:bCs/>
          <w:sz w:val="22"/>
          <w:szCs w:val="22"/>
          <w:lang w:eastAsia="ja-JP"/>
        </w:rPr>
        <w:t>26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w:t>
      </w:r>
      <w:r>
        <w:rPr>
          <w:rFonts w:ascii="Arial" w:hAnsi="Arial" w:cs="Arial" w:hint="eastAsia"/>
          <w:b/>
          <w:bCs/>
          <w:sz w:val="22"/>
          <w:szCs w:val="22"/>
        </w:rPr>
        <w:t>-</w:t>
      </w:r>
      <w:r>
        <w:rPr>
          <w:rFonts w:ascii="Arial" w:eastAsia="MS Mincho" w:hAnsi="Arial" w:cs="Arial"/>
          <w:b/>
          <w:bCs/>
          <w:sz w:val="22"/>
          <w:szCs w:val="22"/>
          <w:lang w:eastAsia="ja-JP"/>
        </w:rPr>
        <w:t xml:space="preserve"> 30</w:t>
      </w:r>
      <w:r>
        <w:rPr>
          <w:rFonts w:ascii="Arial" w:eastAsia="MS Mincho" w:hAnsi="Arial" w:cs="Arial"/>
          <w:b/>
          <w:bCs/>
          <w:sz w:val="22"/>
          <w:szCs w:val="22"/>
          <w:vertAlign w:val="superscript"/>
          <w:lang w:eastAsia="ja-JP"/>
        </w:rPr>
        <w:t>th</w:t>
      </w:r>
      <w:r>
        <w:rPr>
          <w:rFonts w:ascii="Arial" w:hAnsi="Arial" w:cs="Arial" w:hint="eastAsia"/>
          <w:b/>
          <w:bCs/>
          <w:sz w:val="22"/>
          <w:szCs w:val="22"/>
          <w:lang w:eastAsia="ja-JP"/>
        </w:rPr>
        <w:t>, 2019</w:t>
      </w:r>
    </w:p>
    <w:p w:rsidR="00F12C3C" w:rsidRDefault="00664671" w:rsidP="00CD4CA0">
      <w:pPr>
        <w:tabs>
          <w:tab w:val="left" w:pos="1985"/>
        </w:tabs>
        <w:spacing w:beforeLines="100" w:after="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cs="Arial" w:hint="eastAsia"/>
          <w:b/>
          <w:bCs/>
          <w:sz w:val="22"/>
          <w:szCs w:val="22"/>
        </w:rPr>
        <w:t>Discussion on QoS management</w:t>
      </w:r>
      <w:bookmarkStart w:id="0" w:name="_GoBack"/>
      <w:bookmarkEnd w:id="0"/>
    </w:p>
    <w:p w:rsidR="00F12C3C" w:rsidRDefault="00664671">
      <w:pPr>
        <w:tabs>
          <w:tab w:val="left" w:pos="1985"/>
        </w:tabs>
        <w:spacing w:before="156" w:after="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cs="Arial"/>
          <w:b/>
          <w:bCs/>
          <w:sz w:val="22"/>
          <w:szCs w:val="22"/>
        </w:rPr>
        <w:t>ZTE, Sanechips</w:t>
      </w:r>
    </w:p>
    <w:p w:rsidR="00F12C3C" w:rsidRDefault="00664671">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cs="Arial" w:hint="eastAsia"/>
          <w:b/>
          <w:bCs/>
          <w:sz w:val="22"/>
          <w:szCs w:val="22"/>
        </w:rPr>
        <w:t>7.2.4.6</w:t>
      </w:r>
    </w:p>
    <w:p w:rsidR="00F12C3C" w:rsidRDefault="00664671">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F12C3C" w:rsidRDefault="00664671">
      <w:pPr>
        <w:pStyle w:val="Heading1"/>
        <w:spacing w:before="156"/>
        <w:ind w:left="0"/>
        <w:rPr>
          <w:rFonts w:eastAsia="SimSun"/>
        </w:rPr>
      </w:pPr>
      <w:r>
        <w:rPr>
          <w:rFonts w:eastAsia="SimSun" w:hint="eastAsia"/>
        </w:rPr>
        <w:t>Introduction</w:t>
      </w:r>
    </w:p>
    <w:p w:rsidR="00F12C3C" w:rsidRDefault="00664671">
      <w:pPr>
        <w:spacing w:before="156"/>
        <w:rPr>
          <w:sz w:val="20"/>
        </w:rPr>
      </w:pPr>
      <w:r>
        <w:rPr>
          <w:rFonts w:hint="eastAsia"/>
          <w:sz w:val="20"/>
        </w:rPr>
        <w:t>At RAN1 #96bis and #97 meeting, the following agreements were achieved for QoS management</w:t>
      </w:r>
      <w:r w:rsidR="006078F3">
        <w:rPr>
          <w:sz w:val="20"/>
        </w:rPr>
        <w:t xml:space="preserve"> </w:t>
      </w:r>
      <w:r>
        <w:rPr>
          <w:rFonts w:hint="eastAsia"/>
          <w:sz w:val="20"/>
        </w:rPr>
        <w:t>[1][2]:</w:t>
      </w:r>
    </w:p>
    <w:p w:rsidR="00F12C3C" w:rsidRDefault="00664671">
      <w:pPr>
        <w:rPr>
          <w:i/>
          <w:iCs/>
          <w:sz w:val="20"/>
        </w:rPr>
      </w:pPr>
      <w:r>
        <w:rPr>
          <w:i/>
          <w:iCs/>
          <w:sz w:val="20"/>
          <w:highlight w:val="green"/>
        </w:rPr>
        <w:t>Agreements</w:t>
      </w:r>
      <w:r>
        <w:rPr>
          <w:i/>
          <w:iCs/>
          <w:sz w:val="20"/>
        </w:rPr>
        <w:t>:</w:t>
      </w:r>
    </w:p>
    <w:p w:rsidR="00F12C3C" w:rsidRDefault="00664671">
      <w:pPr>
        <w:rPr>
          <w:i/>
          <w:iCs/>
          <w:sz w:val="20"/>
        </w:rPr>
      </w:pPr>
      <w:r>
        <w:rPr>
          <w:i/>
          <w:iCs/>
          <w:sz w:val="20"/>
        </w:rPr>
        <w:t xml:space="preserve">Support at least NR CBR as congestion metric for NR sidelink congestion control. </w:t>
      </w:r>
    </w:p>
    <w:p w:rsidR="00F12C3C" w:rsidRDefault="00664671">
      <w:pPr>
        <w:numPr>
          <w:ilvl w:val="0"/>
          <w:numId w:val="5"/>
        </w:numPr>
        <w:rPr>
          <w:i/>
          <w:iCs/>
          <w:sz w:val="20"/>
        </w:rPr>
      </w:pPr>
      <w:r>
        <w:rPr>
          <w:i/>
          <w:iCs/>
          <w:sz w:val="20"/>
        </w:rPr>
        <w:t>LTE CBR is the baseline for defining NR CBR.</w:t>
      </w:r>
    </w:p>
    <w:p w:rsidR="00F12C3C" w:rsidRDefault="00664671">
      <w:pPr>
        <w:rPr>
          <w:i/>
          <w:iCs/>
          <w:sz w:val="20"/>
        </w:rPr>
      </w:pPr>
      <w:r>
        <w:rPr>
          <w:i/>
          <w:iCs/>
          <w:sz w:val="20"/>
          <w:highlight w:val="green"/>
        </w:rPr>
        <w:t>Agreements</w:t>
      </w:r>
      <w:r>
        <w:rPr>
          <w:i/>
          <w:iCs/>
          <w:sz w:val="20"/>
        </w:rPr>
        <w:t>:</w:t>
      </w:r>
    </w:p>
    <w:p w:rsidR="00F12C3C" w:rsidRDefault="00664671">
      <w:pPr>
        <w:numPr>
          <w:ilvl w:val="0"/>
          <w:numId w:val="6"/>
        </w:numPr>
        <w:rPr>
          <w:i/>
          <w:iCs/>
          <w:sz w:val="20"/>
        </w:rPr>
      </w:pPr>
      <w:r>
        <w:rPr>
          <w:i/>
          <w:iCs/>
          <w:sz w:val="20"/>
        </w:rPr>
        <w:t>LTE V2X sidelink congestion control is the starting point for defining NR sidelink congestion control.</w:t>
      </w:r>
    </w:p>
    <w:p w:rsidR="00F12C3C" w:rsidRDefault="00664671">
      <w:pPr>
        <w:rPr>
          <w:i/>
          <w:iCs/>
          <w:sz w:val="20"/>
        </w:rPr>
      </w:pPr>
      <w:r>
        <w:rPr>
          <w:i/>
          <w:iCs/>
          <w:sz w:val="20"/>
          <w:highlight w:val="green"/>
        </w:rPr>
        <w:t>Agreements</w:t>
      </w:r>
      <w:r>
        <w:rPr>
          <w:i/>
          <w:iCs/>
          <w:sz w:val="20"/>
        </w:rPr>
        <w:t>:</w:t>
      </w:r>
    </w:p>
    <w:p w:rsidR="00F12C3C" w:rsidRDefault="00664671">
      <w:pPr>
        <w:numPr>
          <w:ilvl w:val="0"/>
          <w:numId w:val="6"/>
        </w:numPr>
        <w:rPr>
          <w:i/>
          <w:iCs/>
          <w:sz w:val="20"/>
        </w:rPr>
      </w:pPr>
      <w:r>
        <w:rPr>
          <w:i/>
          <w:iCs/>
          <w:sz w:val="20"/>
        </w:rPr>
        <w:t>Higher-layer reporting of CBR to the gNB is supported for RRC_CONNECTED UEs.</w:t>
      </w:r>
    </w:p>
    <w:p w:rsidR="00F12C3C" w:rsidRDefault="00664671">
      <w:pPr>
        <w:rPr>
          <w:i/>
          <w:iCs/>
          <w:sz w:val="20"/>
        </w:rPr>
      </w:pPr>
      <w:r>
        <w:rPr>
          <w:i/>
          <w:iCs/>
          <w:sz w:val="20"/>
          <w:highlight w:val="green"/>
        </w:rPr>
        <w:t>Agreements</w:t>
      </w:r>
      <w:r>
        <w:rPr>
          <w:i/>
          <w:iCs/>
          <w:sz w:val="20"/>
        </w:rPr>
        <w:t>:</w:t>
      </w:r>
    </w:p>
    <w:p w:rsidR="00F12C3C" w:rsidRDefault="00664671">
      <w:pPr>
        <w:pStyle w:val="3GPPText"/>
        <w:numPr>
          <w:ilvl w:val="0"/>
          <w:numId w:val="7"/>
        </w:numPr>
        <w:spacing w:before="0" w:after="0"/>
        <w:rPr>
          <w:i/>
          <w:iCs/>
          <w:sz w:val="20"/>
        </w:rPr>
      </w:pPr>
      <w:r>
        <w:rPr>
          <w:i/>
          <w:iCs/>
          <w:sz w:val="20"/>
        </w:rPr>
        <w:t>Resource selection window is defined as a time interval where a UE selects sidelink resources for transmission</w:t>
      </w:r>
    </w:p>
    <w:p w:rsidR="00F12C3C" w:rsidRDefault="00664671">
      <w:pPr>
        <w:pStyle w:val="ListParagraph"/>
        <w:numPr>
          <w:ilvl w:val="1"/>
          <w:numId w:val="7"/>
        </w:numPr>
        <w:rPr>
          <w:i/>
          <w:iCs/>
          <w:sz w:val="20"/>
          <w:szCs w:val="20"/>
        </w:rPr>
      </w:pPr>
      <w:r>
        <w:rPr>
          <w:i/>
          <w:iCs/>
          <w:sz w:val="20"/>
          <w:szCs w:val="20"/>
        </w:rPr>
        <w:t xml:space="preserve">The resource selection window starts T1 </w:t>
      </w:r>
      <w:r>
        <w:rPr>
          <w:rFonts w:cs="Times"/>
          <w:i/>
          <w:iCs/>
          <w:sz w:val="20"/>
          <w:szCs w:val="20"/>
        </w:rPr>
        <w:t xml:space="preserve">≥ </w:t>
      </w:r>
      <w:r>
        <w:rPr>
          <w:i/>
          <w:iCs/>
          <w:sz w:val="20"/>
          <w:szCs w:val="20"/>
        </w:rPr>
        <w:t>0 after a resource (re-)selection trigger and is bounded by at least a remaining packet delay budget</w:t>
      </w:r>
    </w:p>
    <w:p w:rsidR="00F12C3C" w:rsidRDefault="00664671">
      <w:pPr>
        <w:pStyle w:val="ListParagraph"/>
        <w:numPr>
          <w:ilvl w:val="1"/>
          <w:numId w:val="7"/>
        </w:numPr>
        <w:rPr>
          <w:i/>
          <w:iCs/>
          <w:sz w:val="20"/>
          <w:szCs w:val="20"/>
        </w:rPr>
      </w:pPr>
      <w:r>
        <w:rPr>
          <w:i/>
          <w:iCs/>
          <w:sz w:val="20"/>
          <w:szCs w:val="20"/>
        </w:rPr>
        <w:t xml:space="preserve">FFS T1 </w:t>
      </w:r>
      <w:r>
        <w:rPr>
          <w:rFonts w:cs="Times"/>
          <w:i/>
          <w:iCs/>
          <w:sz w:val="20"/>
          <w:szCs w:val="20"/>
        </w:rPr>
        <w:t>value</w:t>
      </w:r>
      <w:r>
        <w:rPr>
          <w:i/>
          <w:iCs/>
          <w:sz w:val="20"/>
          <w:szCs w:val="20"/>
        </w:rPr>
        <w:t>, whether it is measured in slots, symbols, ms, etc.</w:t>
      </w:r>
    </w:p>
    <w:p w:rsidR="00F12C3C" w:rsidRDefault="00664671">
      <w:pPr>
        <w:pStyle w:val="ListParagraph"/>
        <w:numPr>
          <w:ilvl w:val="1"/>
          <w:numId w:val="7"/>
        </w:numPr>
        <w:rPr>
          <w:i/>
          <w:iCs/>
          <w:sz w:val="20"/>
          <w:szCs w:val="20"/>
        </w:rPr>
      </w:pPr>
      <w:r>
        <w:rPr>
          <w:i/>
          <w:iCs/>
          <w:sz w:val="20"/>
          <w:szCs w:val="20"/>
        </w:rPr>
        <w:t>FFS other conditions</w:t>
      </w:r>
    </w:p>
    <w:p w:rsidR="00F12C3C" w:rsidRDefault="00664671">
      <w:pPr>
        <w:spacing w:before="156"/>
        <w:rPr>
          <w:sz w:val="20"/>
        </w:rPr>
      </w:pPr>
      <w:r>
        <w:rPr>
          <w:rFonts w:hint="eastAsia"/>
        </w:rPr>
        <w:t>In this contribution, we continue to discuss supporting for QoS management and congestion control.</w:t>
      </w:r>
    </w:p>
    <w:p w:rsidR="00F12C3C" w:rsidRDefault="00664671">
      <w:pPr>
        <w:pStyle w:val="Heading1"/>
        <w:spacing w:before="156"/>
        <w:ind w:left="0"/>
      </w:pPr>
      <w:r>
        <w:rPr>
          <w:rFonts w:hint="eastAsia"/>
        </w:rPr>
        <w:t>Discussion</w:t>
      </w:r>
      <w:r>
        <w:t>s</w:t>
      </w:r>
      <w:r>
        <w:rPr>
          <w:rFonts w:hint="eastAsia"/>
        </w:rPr>
        <w:t xml:space="preserve"> </w:t>
      </w:r>
    </w:p>
    <w:p w:rsidR="00F12C3C" w:rsidRDefault="00664671">
      <w:pPr>
        <w:pStyle w:val="Heading2"/>
        <w:spacing w:before="156"/>
        <w:ind w:left="991" w:right="210" w:hangingChars="354" w:hanging="991"/>
        <w:rPr>
          <w:szCs w:val="22"/>
        </w:rPr>
      </w:pPr>
      <w:r>
        <w:rPr>
          <w:rFonts w:hint="eastAsia"/>
          <w:szCs w:val="22"/>
        </w:rPr>
        <w:t>QoS Support for NR V2X PC5</w:t>
      </w:r>
    </w:p>
    <w:p w:rsidR="00F12C3C" w:rsidRDefault="00664671">
      <w:pPr>
        <w:spacing w:before="156"/>
        <w:rPr>
          <w:sz w:val="20"/>
        </w:rPr>
      </w:pPr>
      <w:r>
        <w:rPr>
          <w:rFonts w:hint="eastAsia"/>
          <w:sz w:val="20"/>
        </w:rPr>
        <w:t>5QI can be used to represent the characteristics needed for the PC5 operation, e.g. latency, priority, reliability, etc. In addition, the minimum required communication range could be treated as an additional parameter to 5QI specifically for PC5[3]. It is also necessary to be noted that as agreed in SA2, a set of PQIs</w:t>
      </w:r>
      <w:r>
        <w:rPr>
          <w:sz w:val="20"/>
        </w:rPr>
        <w:t xml:space="preserve"> </w:t>
      </w:r>
      <w:r>
        <w:rPr>
          <w:rFonts w:hint="eastAsia"/>
          <w:sz w:val="20"/>
        </w:rPr>
        <w:t>(PC5 5QIs) are dedicated</w:t>
      </w:r>
      <w:r>
        <w:rPr>
          <w:sz w:val="20"/>
        </w:rPr>
        <w:t>ly</w:t>
      </w:r>
      <w:r>
        <w:rPr>
          <w:rFonts w:hint="eastAsia"/>
          <w:sz w:val="20"/>
        </w:rPr>
        <w:t xml:space="preserve"> designed for the </w:t>
      </w:r>
      <w:r>
        <w:rPr>
          <w:sz w:val="20"/>
        </w:rPr>
        <w:t>usage</w:t>
      </w:r>
      <w:r>
        <w:rPr>
          <w:rFonts w:hint="eastAsia"/>
          <w:sz w:val="20"/>
        </w:rPr>
        <w:t xml:space="preserve"> in PC5 interface</w:t>
      </w:r>
      <w:r>
        <w:rPr>
          <w:sz w:val="20"/>
        </w:rPr>
        <w:t xml:space="preserve"> </w:t>
      </w:r>
      <w:r>
        <w:rPr>
          <w:rFonts w:hint="eastAsia"/>
          <w:sz w:val="20"/>
        </w:rPr>
        <w:t xml:space="preserve">[4]. From physical layer perspective, some of QoS related parameters should be informed to physical layer, especially for mode 2 communication. </w:t>
      </w:r>
    </w:p>
    <w:p w:rsidR="00F12C3C" w:rsidRDefault="00664671">
      <w:pPr>
        <w:pStyle w:val="Heading3"/>
        <w:ind w:right="210"/>
      </w:pPr>
      <w:r>
        <w:rPr>
          <w:rFonts w:hint="eastAsia"/>
        </w:rPr>
        <w:t>Parameters for sensing</w:t>
      </w:r>
    </w:p>
    <w:p w:rsidR="00F12C3C" w:rsidRDefault="00664671">
      <w:pPr>
        <w:spacing w:before="156"/>
        <w:rPr>
          <w:sz w:val="20"/>
        </w:rPr>
      </w:pPr>
      <w:r>
        <w:rPr>
          <w:sz w:val="20"/>
        </w:rPr>
        <w:t>LTE V2X supports</w:t>
      </w:r>
      <w:r>
        <w:rPr>
          <w:rFonts w:hint="eastAsia"/>
          <w:sz w:val="20"/>
        </w:rPr>
        <w:t xml:space="preserve"> multiple traffics with different QoS characteristics shar</w:t>
      </w:r>
      <w:r>
        <w:rPr>
          <w:sz w:val="20"/>
        </w:rPr>
        <w:t>ing</w:t>
      </w:r>
      <w:r>
        <w:rPr>
          <w:rFonts w:hint="eastAsia"/>
          <w:sz w:val="20"/>
        </w:rPr>
        <w:t xml:space="preserve"> the same resource pool. </w:t>
      </w:r>
      <w:r>
        <w:rPr>
          <w:sz w:val="20"/>
        </w:rPr>
        <w:t>If this is also assumed in</w:t>
      </w:r>
      <w:r>
        <w:rPr>
          <w:rFonts w:hint="eastAsia"/>
          <w:sz w:val="20"/>
        </w:rPr>
        <w:t xml:space="preserve"> NR V2X, during mode 2 sensing process, how to estimate which resources are available should be discussed. In case LTE V2X sensing procedure is taken as a start point, when one UE is under sensing procedure, the information of SCI decoding, such as packet priority in the decoded SCI, combined with its own packet priority, can be applied to </w:t>
      </w:r>
      <w:r>
        <w:rPr>
          <w:rFonts w:hint="eastAsia"/>
          <w:sz w:val="20"/>
        </w:rPr>
        <w:lastRenderedPageBreak/>
        <w:t>handle inter UEs resource conflicts. And the parameters should be signaled over the air within SCI for other UE</w:t>
      </w:r>
      <w:r>
        <w:rPr>
          <w:sz w:val="20"/>
        </w:rPr>
        <w:t>’</w:t>
      </w:r>
      <w:r>
        <w:rPr>
          <w:rFonts w:hint="eastAsia"/>
          <w:sz w:val="20"/>
        </w:rPr>
        <w:t>s sensing.</w:t>
      </w:r>
    </w:p>
    <w:p w:rsidR="00F12C3C" w:rsidRDefault="00664671">
      <w:pPr>
        <w:pStyle w:val="YJ-Proposal"/>
        <w:rPr>
          <w:szCs w:val="22"/>
          <w:lang w:val="en-US" w:eastAsia="zh-CN"/>
        </w:rPr>
      </w:pPr>
      <w:bookmarkStart w:id="1" w:name="_Toc28464"/>
      <w:bookmarkStart w:id="2" w:name="_Toc7752853"/>
      <w:bookmarkStart w:id="3" w:name="_Toc16859320"/>
      <w:r>
        <w:rPr>
          <w:rFonts w:hint="eastAsia"/>
          <w:szCs w:val="22"/>
          <w:lang w:val="en-US" w:eastAsia="zh-CN"/>
        </w:rPr>
        <w:t xml:space="preserve">At least packet priority should be visible in physical layer for mode 2 sensing and </w:t>
      </w:r>
      <w:r w:rsidR="00CD4CA0">
        <w:rPr>
          <w:szCs w:val="22"/>
          <w:lang w:val="en-US" w:eastAsia="zh-CN"/>
        </w:rPr>
        <w:t xml:space="preserve">be </w:t>
      </w:r>
      <w:r>
        <w:rPr>
          <w:rFonts w:hint="eastAsia"/>
          <w:szCs w:val="22"/>
          <w:lang w:val="en-US" w:eastAsia="zh-CN"/>
        </w:rPr>
        <w:t>included in SCI.</w:t>
      </w:r>
      <w:bookmarkEnd w:id="1"/>
      <w:bookmarkEnd w:id="2"/>
      <w:bookmarkEnd w:id="3"/>
    </w:p>
    <w:p w:rsidR="00F12C3C" w:rsidRDefault="00664671">
      <w:pPr>
        <w:pStyle w:val="Heading3"/>
        <w:ind w:right="210"/>
        <w:rPr>
          <w:szCs w:val="22"/>
        </w:rPr>
      </w:pPr>
      <w:r>
        <w:rPr>
          <w:rFonts w:hint="eastAsia"/>
          <w:szCs w:val="22"/>
        </w:rPr>
        <w:t>Parameters for resource selection</w:t>
      </w:r>
    </w:p>
    <w:p w:rsidR="00F12C3C" w:rsidRDefault="00664671">
      <w:pPr>
        <w:spacing w:before="156"/>
        <w:rPr>
          <w:sz w:val="20"/>
        </w:rPr>
      </w:pPr>
      <w:r>
        <w:rPr>
          <w:rFonts w:hint="eastAsia"/>
          <w:sz w:val="20"/>
        </w:rPr>
        <w:t xml:space="preserve">For mode 2 resource selection, the selected resource(s) which fulfills latency requirement should be within a resource selection window. As agreed in RAN1 #97 meeting, the boundary of the resource selection window </w:t>
      </w:r>
      <w:r>
        <w:rPr>
          <w:sz w:val="20"/>
        </w:rPr>
        <w:t xml:space="preserve">is bounded by at least a remaining packet delay </w:t>
      </w:r>
      <w:r w:rsidR="006078F3">
        <w:rPr>
          <w:sz w:val="20"/>
        </w:rPr>
        <w:t>budget [</w:t>
      </w:r>
      <w:r>
        <w:rPr>
          <w:rFonts w:hint="eastAsia"/>
          <w:sz w:val="20"/>
        </w:rPr>
        <w:t>2]. That means the latency requirement, denoted as PDB (packet delay budget)</w:t>
      </w:r>
      <w:r>
        <w:rPr>
          <w:sz w:val="20"/>
        </w:rPr>
        <w:t>,</w:t>
      </w:r>
      <w:r>
        <w:rPr>
          <w:rFonts w:hint="eastAsia"/>
          <w:sz w:val="20"/>
        </w:rPr>
        <w:t xml:space="preserve"> should be visible in physical layer. </w:t>
      </w:r>
    </w:p>
    <w:p w:rsidR="00F12C3C" w:rsidRDefault="00664671" w:rsidP="00CD4CA0">
      <w:pPr>
        <w:pStyle w:val="YJ-Observation"/>
        <w:spacing w:beforeLines="50" w:afterLines="50" w:line="240" w:lineRule="auto"/>
        <w:rPr>
          <w:szCs w:val="22"/>
          <w:lang w:val="en-US" w:eastAsia="zh-CN"/>
        </w:rPr>
      </w:pPr>
      <w:bookmarkStart w:id="4" w:name="_Toc30652"/>
      <w:bookmarkStart w:id="5" w:name="_Toc7752854"/>
      <w:bookmarkStart w:id="6" w:name="_Toc16859317"/>
      <w:r>
        <w:rPr>
          <w:szCs w:val="22"/>
          <w:lang w:val="en-US" w:eastAsia="zh-CN"/>
        </w:rPr>
        <w:t xml:space="preserve">Latency requirement is required to be </w:t>
      </w:r>
      <w:r>
        <w:rPr>
          <w:rFonts w:hint="eastAsia"/>
          <w:szCs w:val="22"/>
          <w:lang w:val="en-US" w:eastAsia="zh-CN"/>
        </w:rPr>
        <w:t>visible in physical layer</w:t>
      </w:r>
      <w:r>
        <w:rPr>
          <w:szCs w:val="22"/>
          <w:lang w:val="en-US" w:eastAsia="zh-CN"/>
        </w:rPr>
        <w:t>.</w:t>
      </w:r>
      <w:bookmarkEnd w:id="4"/>
      <w:bookmarkEnd w:id="5"/>
      <w:bookmarkEnd w:id="6"/>
    </w:p>
    <w:p w:rsidR="00F12C3C" w:rsidRDefault="00664671">
      <w:pPr>
        <w:spacing w:before="156"/>
        <w:rPr>
          <w:sz w:val="20"/>
        </w:rPr>
      </w:pPr>
      <w:r>
        <w:rPr>
          <w:rFonts w:hint="eastAsia"/>
          <w:sz w:val="20"/>
        </w:rPr>
        <w:t>After sensing procedure, a set of candidate resources is formed. Among the candidate resources, one or more resources would be selected for PSCCH/PSSCH transmission. The number of re-transmission</w:t>
      </w:r>
      <w:r>
        <w:rPr>
          <w:sz w:val="20"/>
        </w:rPr>
        <w:t>s</w:t>
      </w:r>
      <w:r>
        <w:rPr>
          <w:rFonts w:hint="eastAsia"/>
          <w:sz w:val="20"/>
        </w:rPr>
        <w:t xml:space="preserve"> is closely related to packet reliability. But the determination of number of transmission should be handled in MAC layer similar as LTE V2X mechanism, i.e., the reliability is not necessary to be visible in physical layer.</w:t>
      </w:r>
    </w:p>
    <w:p w:rsidR="00F12C3C" w:rsidRDefault="00664671" w:rsidP="00CD4CA0">
      <w:pPr>
        <w:pStyle w:val="YJ-Observation"/>
        <w:spacing w:beforeLines="50" w:afterLines="50" w:line="240" w:lineRule="auto"/>
        <w:rPr>
          <w:szCs w:val="22"/>
          <w:lang w:val="en-US" w:eastAsia="zh-CN"/>
        </w:rPr>
      </w:pPr>
      <w:bookmarkStart w:id="7" w:name="_Toc28753"/>
      <w:bookmarkStart w:id="8" w:name="_Toc7752855"/>
      <w:bookmarkStart w:id="9" w:name="_Toc16859318"/>
      <w:r>
        <w:rPr>
          <w:rFonts w:hint="eastAsia"/>
          <w:szCs w:val="22"/>
          <w:lang w:val="en-US" w:eastAsia="zh-CN"/>
        </w:rPr>
        <w:t>Packet reliability is not necessarily visible in physical layer.</w:t>
      </w:r>
      <w:bookmarkEnd w:id="7"/>
      <w:bookmarkEnd w:id="8"/>
      <w:bookmarkEnd w:id="9"/>
    </w:p>
    <w:p w:rsidR="00F12C3C" w:rsidRDefault="00664671">
      <w:pPr>
        <w:pStyle w:val="Heading2"/>
        <w:spacing w:before="156"/>
        <w:ind w:left="991" w:right="210" w:hangingChars="354" w:hanging="991"/>
      </w:pPr>
      <w:bookmarkStart w:id="10" w:name="_Toc939"/>
      <w:bookmarkStart w:id="11" w:name="_Toc19497"/>
      <w:bookmarkStart w:id="12" w:name="_Toc24792"/>
      <w:bookmarkStart w:id="13" w:name="_Toc6764"/>
      <w:bookmarkEnd w:id="10"/>
      <w:bookmarkEnd w:id="11"/>
      <w:bookmarkEnd w:id="12"/>
      <w:bookmarkEnd w:id="13"/>
      <w:r>
        <w:rPr>
          <w:rFonts w:hint="eastAsia"/>
        </w:rPr>
        <w:t xml:space="preserve">Congestion control for Sidelink  </w:t>
      </w:r>
    </w:p>
    <w:p w:rsidR="00F12C3C" w:rsidRDefault="00664671">
      <w:pPr>
        <w:spacing w:before="156"/>
        <w:rPr>
          <w:sz w:val="20"/>
        </w:rPr>
      </w:pPr>
      <w:r>
        <w:rPr>
          <w:rFonts w:hint="eastAsia"/>
          <w:sz w:val="20"/>
        </w:rPr>
        <w:t>In LTE V2X, two measured metrics can be used for sidelink congestion control, one is CBR (Channel Busy Ratio), and another is CR (Channel occupancy Ratio). As defined in 36.214, CBR and CR</w:t>
      </w:r>
      <w:r w:rsidR="00CD4CA0">
        <w:rPr>
          <w:rFonts w:hint="eastAsia"/>
          <w:sz w:val="20"/>
        </w:rPr>
        <w:t xml:space="preserve"> </w:t>
      </w:r>
      <w:r w:rsidR="00CD4CA0">
        <w:rPr>
          <w:sz w:val="20"/>
        </w:rPr>
        <w:t>are</w:t>
      </w:r>
      <w:r>
        <w:rPr>
          <w:rFonts w:hint="eastAsia"/>
          <w:sz w:val="20"/>
        </w:rPr>
        <w:t xml:space="preserve"> based on the frequency domain granularity which is sub-channel and time domain granularity which is subframe. And the measured window of CBR is 100 subframes and the measured window of CR is 1000 subframes in </w:t>
      </w:r>
      <w:r w:rsidR="006078F3">
        <w:rPr>
          <w:sz w:val="20"/>
        </w:rPr>
        <w:t>LTE [</w:t>
      </w:r>
      <w:r>
        <w:rPr>
          <w:rFonts w:hint="eastAsia"/>
          <w:sz w:val="20"/>
        </w:rPr>
        <w:t>5]. In NR V2X, the resource granularity on frequency domain is also sub-channel, but its granularity on time domain is slot which is related to the numerology of OFDM symbol. Considering the accuracy of measurement and the timeliness of measurement result, the measured window of NR CBR can be set to 100 slots.</w:t>
      </w:r>
    </w:p>
    <w:p w:rsidR="00F12C3C" w:rsidRDefault="00664671">
      <w:pPr>
        <w:pStyle w:val="YJ-Proposal"/>
        <w:rPr>
          <w:szCs w:val="22"/>
          <w:lang w:val="en-US" w:eastAsia="zh-CN"/>
        </w:rPr>
      </w:pPr>
      <w:bookmarkStart w:id="14" w:name="_Toc20409"/>
      <w:bookmarkStart w:id="15" w:name="_Toc16859321"/>
      <w:r>
        <w:rPr>
          <w:rFonts w:hint="eastAsia"/>
          <w:szCs w:val="22"/>
          <w:lang w:val="en-US" w:eastAsia="zh-CN"/>
        </w:rPr>
        <w:t>For NR CBR measuremen</w:t>
      </w:r>
      <w:r w:rsidR="006078F3">
        <w:rPr>
          <w:rFonts w:hint="eastAsia"/>
          <w:szCs w:val="22"/>
          <w:lang w:val="en-US" w:eastAsia="zh-CN"/>
        </w:rPr>
        <w:t>t, the granularity i</w:t>
      </w:r>
      <w:r>
        <w:rPr>
          <w:rFonts w:hint="eastAsia"/>
          <w:szCs w:val="22"/>
          <w:lang w:val="en-US" w:eastAsia="zh-CN"/>
        </w:rPr>
        <w:t xml:space="preserve">n frequency domain is sub-channel and </w:t>
      </w:r>
      <w:r w:rsidR="006078F3">
        <w:rPr>
          <w:szCs w:val="22"/>
          <w:lang w:val="en-US" w:eastAsia="zh-CN"/>
        </w:rPr>
        <w:t xml:space="preserve">the granularity </w:t>
      </w:r>
      <w:r w:rsidR="006078F3">
        <w:rPr>
          <w:rFonts w:hint="eastAsia"/>
          <w:szCs w:val="22"/>
          <w:lang w:val="en-US" w:eastAsia="zh-CN"/>
        </w:rPr>
        <w:t>i</w:t>
      </w:r>
      <w:r>
        <w:rPr>
          <w:rFonts w:hint="eastAsia"/>
          <w:szCs w:val="22"/>
          <w:lang w:val="en-US" w:eastAsia="zh-CN"/>
        </w:rPr>
        <w:t>n time domain is slot.</w:t>
      </w:r>
      <w:bookmarkEnd w:id="14"/>
      <w:bookmarkEnd w:id="15"/>
    </w:p>
    <w:p w:rsidR="00F12C3C" w:rsidRDefault="00664671">
      <w:pPr>
        <w:pStyle w:val="YJ-Proposal"/>
        <w:rPr>
          <w:szCs w:val="22"/>
          <w:lang w:val="en-US" w:eastAsia="zh-CN"/>
        </w:rPr>
      </w:pPr>
      <w:bookmarkStart w:id="16" w:name="_Toc10415"/>
      <w:bookmarkStart w:id="17" w:name="_Toc16859322"/>
      <w:r>
        <w:rPr>
          <w:rFonts w:hint="eastAsia"/>
          <w:szCs w:val="22"/>
          <w:lang w:val="en-US" w:eastAsia="zh-CN"/>
        </w:rPr>
        <w:t>For NR CBR measurement, the measured window is 100 slots.</w:t>
      </w:r>
      <w:bookmarkEnd w:id="16"/>
      <w:bookmarkEnd w:id="17"/>
    </w:p>
    <w:p w:rsidR="00F12C3C" w:rsidRDefault="00664671">
      <w:pPr>
        <w:spacing w:before="156"/>
        <w:rPr>
          <w:sz w:val="20"/>
        </w:rPr>
      </w:pPr>
      <w:r>
        <w:rPr>
          <w:rFonts w:hint="eastAsia"/>
          <w:sz w:val="20"/>
        </w:rPr>
        <w:t>For mode 4 UE in LTE V2X, after the UE selects one resource pool based on CBR or other factors, an additional mechanism is applied to avoid resource pool congestion, which is limiting a single UE to use too much resources within the resource pool for a certain period based on CR-limit rules. As the same purpose in LTE V2X, besides NR CBR which is already agreed, CR-limit rules can be considered for NR V2X congestion control.</w:t>
      </w:r>
    </w:p>
    <w:p w:rsidR="00F12C3C" w:rsidRDefault="00664671">
      <w:pPr>
        <w:pStyle w:val="YJ-Proposal"/>
        <w:rPr>
          <w:lang w:val="en-US" w:eastAsia="zh-CN"/>
        </w:rPr>
      </w:pPr>
      <w:bookmarkStart w:id="18" w:name="_Toc7752857"/>
      <w:bookmarkStart w:id="19" w:name="_Toc14347"/>
      <w:bookmarkStart w:id="20" w:name="_Toc16859323"/>
      <w:r>
        <w:rPr>
          <w:rFonts w:hint="eastAsia"/>
          <w:lang w:val="en-US" w:eastAsia="zh-CN"/>
        </w:rPr>
        <w:t>Besides CBR, CR-limit rules similar in LTE V2X can be considered for NR V2X congestion control.</w:t>
      </w:r>
      <w:bookmarkEnd w:id="18"/>
      <w:bookmarkEnd w:id="19"/>
      <w:bookmarkEnd w:id="20"/>
    </w:p>
    <w:p w:rsidR="00F12C3C" w:rsidRDefault="00664671">
      <w:pPr>
        <w:pStyle w:val="Heading1"/>
        <w:spacing w:before="156"/>
        <w:ind w:left="0"/>
        <w:rPr>
          <w:rFonts w:eastAsia="SimSun"/>
        </w:rPr>
      </w:pPr>
      <w:r>
        <w:rPr>
          <w:rFonts w:eastAsia="SimSun" w:hint="eastAsia"/>
        </w:rPr>
        <w:t>Conclusion</w:t>
      </w:r>
    </w:p>
    <w:p w:rsidR="00F12C3C" w:rsidRDefault="00664671" w:rsidP="00CD4CA0">
      <w:pPr>
        <w:snapToGrid w:val="0"/>
        <w:spacing w:afterLines="50"/>
        <w:rPr>
          <w:sz w:val="20"/>
        </w:rPr>
      </w:pPr>
      <w:r>
        <w:rPr>
          <w:rFonts w:hint="eastAsia"/>
          <w:sz w:val="20"/>
        </w:rPr>
        <w:t xml:space="preserve">In this contribution, the QoS mechanisms and congestion control for NR V2X PC5 are discussed and </w:t>
      </w:r>
      <w:r>
        <w:rPr>
          <w:sz w:val="20"/>
        </w:rPr>
        <w:t xml:space="preserve">the following </w:t>
      </w:r>
      <w:r>
        <w:rPr>
          <w:rFonts w:hint="eastAsia"/>
          <w:sz w:val="20"/>
        </w:rPr>
        <w:t xml:space="preserve">observations and </w:t>
      </w:r>
      <w:r>
        <w:rPr>
          <w:sz w:val="20"/>
        </w:rPr>
        <w:t>proposal</w:t>
      </w:r>
      <w:r>
        <w:rPr>
          <w:rFonts w:hint="eastAsia"/>
          <w:sz w:val="20"/>
        </w:rPr>
        <w:t>s are given</w:t>
      </w:r>
      <w:r>
        <w:rPr>
          <w:sz w:val="20"/>
        </w:rPr>
        <w:t>:</w:t>
      </w:r>
    </w:p>
    <w:p w:rsidR="00CD4CA0" w:rsidRDefault="00DE6BE9">
      <w:pPr>
        <w:pStyle w:val="TOC1"/>
        <w:tabs>
          <w:tab w:val="left" w:pos="1760"/>
          <w:tab w:val="right" w:leader="dot" w:pos="9650"/>
        </w:tabs>
        <w:rPr>
          <w:rFonts w:asciiTheme="minorHAnsi" w:hAnsiTheme="minorHAnsi" w:cstheme="minorBidi"/>
          <w:b w:val="0"/>
          <w:i w:val="0"/>
          <w:noProof/>
          <w:kern w:val="0"/>
          <w:sz w:val="22"/>
          <w:szCs w:val="22"/>
        </w:rPr>
      </w:pPr>
      <w:r>
        <w:fldChar w:fldCharType="begin"/>
      </w:r>
      <w:r w:rsidR="00664671">
        <w:instrText>TOC \n  \t "YJ-Observation,1" \h</w:instrText>
      </w:r>
      <w:r>
        <w:fldChar w:fldCharType="separate"/>
      </w:r>
      <w:hyperlink w:anchor="_Toc16859317" w:history="1">
        <w:r w:rsidR="00CD4CA0" w:rsidRPr="008879B1">
          <w:rPr>
            <w:rStyle w:val="Hyperlink"/>
            <w:rFonts w:eastAsia="SimSun"/>
            <w:noProof/>
          </w:rPr>
          <w:t>Oberservation 1:</w:t>
        </w:r>
        <w:r w:rsidR="00CD4CA0">
          <w:rPr>
            <w:rFonts w:asciiTheme="minorHAnsi" w:hAnsiTheme="minorHAnsi" w:cstheme="minorBidi"/>
            <w:b w:val="0"/>
            <w:i w:val="0"/>
            <w:noProof/>
            <w:kern w:val="0"/>
            <w:sz w:val="22"/>
            <w:szCs w:val="22"/>
          </w:rPr>
          <w:tab/>
        </w:r>
        <w:r w:rsidR="00CD4CA0" w:rsidRPr="008879B1">
          <w:rPr>
            <w:rStyle w:val="Hyperlink"/>
            <w:noProof/>
          </w:rPr>
          <w:t>Latency requirement is required to be visible in physical layer.</w:t>
        </w:r>
      </w:hyperlink>
    </w:p>
    <w:p w:rsidR="00CD4CA0" w:rsidRDefault="00CD4CA0">
      <w:pPr>
        <w:pStyle w:val="TOC1"/>
        <w:tabs>
          <w:tab w:val="left" w:pos="1760"/>
          <w:tab w:val="right" w:leader="dot" w:pos="9650"/>
        </w:tabs>
        <w:rPr>
          <w:rFonts w:asciiTheme="minorHAnsi" w:hAnsiTheme="minorHAnsi" w:cstheme="minorBidi"/>
          <w:b w:val="0"/>
          <w:i w:val="0"/>
          <w:noProof/>
          <w:kern w:val="0"/>
          <w:sz w:val="22"/>
          <w:szCs w:val="22"/>
        </w:rPr>
      </w:pPr>
      <w:hyperlink w:anchor="_Toc16859318" w:history="1">
        <w:r w:rsidRPr="008879B1">
          <w:rPr>
            <w:rStyle w:val="Hyperlink"/>
            <w:rFonts w:eastAsia="SimSun"/>
            <w:noProof/>
          </w:rPr>
          <w:t>Oberservation 2:</w:t>
        </w:r>
        <w:r>
          <w:rPr>
            <w:rFonts w:asciiTheme="minorHAnsi" w:hAnsiTheme="minorHAnsi" w:cstheme="minorBidi"/>
            <w:b w:val="0"/>
            <w:i w:val="0"/>
            <w:noProof/>
            <w:kern w:val="0"/>
            <w:sz w:val="22"/>
            <w:szCs w:val="22"/>
          </w:rPr>
          <w:tab/>
        </w:r>
        <w:r w:rsidRPr="008879B1">
          <w:rPr>
            <w:rStyle w:val="Hyperlink"/>
            <w:noProof/>
          </w:rPr>
          <w:t>Packet reliability is not necessarily visible in physical layer.</w:t>
        </w:r>
      </w:hyperlink>
    </w:p>
    <w:p w:rsidR="00F12C3C" w:rsidRDefault="00DE6BE9">
      <w:pPr>
        <w:pStyle w:val="TOC1"/>
        <w:tabs>
          <w:tab w:val="right" w:leader="dot" w:pos="9660"/>
        </w:tabs>
      </w:pPr>
      <w:r>
        <w:fldChar w:fldCharType="end"/>
      </w:r>
    </w:p>
    <w:p w:rsidR="00CD4CA0" w:rsidRDefault="00DE6BE9">
      <w:pPr>
        <w:pStyle w:val="TOC1"/>
        <w:tabs>
          <w:tab w:val="left" w:pos="1320"/>
          <w:tab w:val="right" w:leader="dot" w:pos="9650"/>
        </w:tabs>
        <w:rPr>
          <w:rFonts w:asciiTheme="minorHAnsi" w:hAnsiTheme="minorHAnsi" w:cstheme="minorBidi"/>
          <w:b w:val="0"/>
          <w:i w:val="0"/>
          <w:noProof/>
          <w:kern w:val="0"/>
          <w:sz w:val="22"/>
          <w:szCs w:val="22"/>
        </w:rPr>
      </w:pPr>
      <w:r w:rsidRPr="00DE6BE9">
        <w:fldChar w:fldCharType="begin"/>
      </w:r>
      <w:r w:rsidR="00664671">
        <w:instrText>TOC \n  \t "YJ-Proposal,1,sub-proposal,2" \h</w:instrText>
      </w:r>
      <w:r w:rsidRPr="00DE6BE9">
        <w:fldChar w:fldCharType="separate"/>
      </w:r>
      <w:hyperlink w:anchor="_Toc16859320" w:history="1">
        <w:r w:rsidR="00CD4CA0" w:rsidRPr="00BD43E0">
          <w:rPr>
            <w:rStyle w:val="Hyperlink"/>
            <w:rFonts w:eastAsia="SimSun"/>
            <w:noProof/>
          </w:rPr>
          <w:t>Proposal 1:</w:t>
        </w:r>
        <w:r w:rsidR="00CD4CA0">
          <w:rPr>
            <w:rFonts w:asciiTheme="minorHAnsi" w:hAnsiTheme="minorHAnsi" w:cstheme="minorBidi"/>
            <w:b w:val="0"/>
            <w:i w:val="0"/>
            <w:noProof/>
            <w:kern w:val="0"/>
            <w:sz w:val="22"/>
            <w:szCs w:val="22"/>
          </w:rPr>
          <w:tab/>
        </w:r>
        <w:r w:rsidR="00CD4CA0" w:rsidRPr="00BD43E0">
          <w:rPr>
            <w:rStyle w:val="Hyperlink"/>
            <w:noProof/>
          </w:rPr>
          <w:t>At least packet priority should be visible in physical layer for mode 2 sensing and be included in SCI.</w:t>
        </w:r>
      </w:hyperlink>
    </w:p>
    <w:p w:rsidR="00CD4CA0" w:rsidRDefault="00CD4CA0">
      <w:pPr>
        <w:pStyle w:val="TOC1"/>
        <w:tabs>
          <w:tab w:val="left" w:pos="1320"/>
          <w:tab w:val="right" w:leader="dot" w:pos="9650"/>
        </w:tabs>
        <w:rPr>
          <w:rFonts w:asciiTheme="minorHAnsi" w:hAnsiTheme="minorHAnsi" w:cstheme="minorBidi"/>
          <w:b w:val="0"/>
          <w:i w:val="0"/>
          <w:noProof/>
          <w:kern w:val="0"/>
          <w:sz w:val="22"/>
          <w:szCs w:val="22"/>
        </w:rPr>
      </w:pPr>
      <w:hyperlink w:anchor="_Toc16859321" w:history="1">
        <w:r w:rsidRPr="00BD43E0">
          <w:rPr>
            <w:rStyle w:val="Hyperlink"/>
            <w:rFonts w:eastAsia="SimSun"/>
            <w:noProof/>
          </w:rPr>
          <w:t>Proposal 2:</w:t>
        </w:r>
        <w:r>
          <w:rPr>
            <w:rFonts w:asciiTheme="minorHAnsi" w:hAnsiTheme="minorHAnsi" w:cstheme="minorBidi"/>
            <w:b w:val="0"/>
            <w:i w:val="0"/>
            <w:noProof/>
            <w:kern w:val="0"/>
            <w:sz w:val="22"/>
            <w:szCs w:val="22"/>
          </w:rPr>
          <w:tab/>
        </w:r>
        <w:r w:rsidRPr="00BD43E0">
          <w:rPr>
            <w:rStyle w:val="Hyperlink"/>
            <w:noProof/>
          </w:rPr>
          <w:t>For NR CBR measurement, the granularity in frequency domain is sub-channel and the granularity in time domain is slot.</w:t>
        </w:r>
      </w:hyperlink>
    </w:p>
    <w:p w:rsidR="00CD4CA0" w:rsidRDefault="00CD4CA0">
      <w:pPr>
        <w:pStyle w:val="TOC1"/>
        <w:tabs>
          <w:tab w:val="left" w:pos="1320"/>
          <w:tab w:val="right" w:leader="dot" w:pos="9650"/>
        </w:tabs>
        <w:rPr>
          <w:rFonts w:asciiTheme="minorHAnsi" w:hAnsiTheme="minorHAnsi" w:cstheme="minorBidi"/>
          <w:b w:val="0"/>
          <w:i w:val="0"/>
          <w:noProof/>
          <w:kern w:val="0"/>
          <w:sz w:val="22"/>
          <w:szCs w:val="22"/>
        </w:rPr>
      </w:pPr>
      <w:hyperlink w:anchor="_Toc16859322" w:history="1">
        <w:r w:rsidRPr="00BD43E0">
          <w:rPr>
            <w:rStyle w:val="Hyperlink"/>
            <w:rFonts w:eastAsia="SimSun"/>
            <w:noProof/>
          </w:rPr>
          <w:t>Proposal 3:</w:t>
        </w:r>
        <w:r>
          <w:rPr>
            <w:rFonts w:asciiTheme="minorHAnsi" w:hAnsiTheme="minorHAnsi" w:cstheme="minorBidi"/>
            <w:b w:val="0"/>
            <w:i w:val="0"/>
            <w:noProof/>
            <w:kern w:val="0"/>
            <w:sz w:val="22"/>
            <w:szCs w:val="22"/>
          </w:rPr>
          <w:tab/>
        </w:r>
        <w:r w:rsidRPr="00BD43E0">
          <w:rPr>
            <w:rStyle w:val="Hyperlink"/>
            <w:noProof/>
          </w:rPr>
          <w:t>For NR CBR measurement, the measured window is 100 slots.</w:t>
        </w:r>
      </w:hyperlink>
    </w:p>
    <w:p w:rsidR="00CD4CA0" w:rsidRDefault="00CD4CA0">
      <w:pPr>
        <w:pStyle w:val="TOC1"/>
        <w:tabs>
          <w:tab w:val="left" w:pos="1320"/>
          <w:tab w:val="right" w:leader="dot" w:pos="9650"/>
        </w:tabs>
        <w:rPr>
          <w:rFonts w:asciiTheme="minorHAnsi" w:hAnsiTheme="minorHAnsi" w:cstheme="minorBidi"/>
          <w:b w:val="0"/>
          <w:i w:val="0"/>
          <w:noProof/>
          <w:kern w:val="0"/>
          <w:sz w:val="22"/>
          <w:szCs w:val="22"/>
        </w:rPr>
      </w:pPr>
      <w:hyperlink w:anchor="_Toc16859323" w:history="1">
        <w:r w:rsidRPr="00BD43E0">
          <w:rPr>
            <w:rStyle w:val="Hyperlink"/>
            <w:rFonts w:eastAsia="SimSun"/>
            <w:noProof/>
          </w:rPr>
          <w:t>Proposal 4:</w:t>
        </w:r>
        <w:r>
          <w:rPr>
            <w:rFonts w:asciiTheme="minorHAnsi" w:hAnsiTheme="minorHAnsi" w:cstheme="minorBidi"/>
            <w:b w:val="0"/>
            <w:i w:val="0"/>
            <w:noProof/>
            <w:kern w:val="0"/>
            <w:sz w:val="22"/>
            <w:szCs w:val="22"/>
          </w:rPr>
          <w:tab/>
        </w:r>
        <w:r w:rsidRPr="00BD43E0">
          <w:rPr>
            <w:rStyle w:val="Hyperlink"/>
            <w:noProof/>
          </w:rPr>
          <w:t>Besides CBR, CR-limit rules similar in LTE V2X can be considered for NR V2X congestion control.</w:t>
        </w:r>
      </w:hyperlink>
    </w:p>
    <w:p w:rsidR="00F12C3C" w:rsidRDefault="00DE6BE9">
      <w:pPr>
        <w:pStyle w:val="YJ-Proposal"/>
        <w:numPr>
          <w:ilvl w:val="0"/>
          <w:numId w:val="0"/>
        </w:numPr>
        <w:rPr>
          <w:szCs w:val="22"/>
          <w:lang w:val="en-US" w:eastAsia="zh-CN"/>
        </w:rPr>
      </w:pPr>
      <w:r>
        <w:fldChar w:fldCharType="end"/>
      </w:r>
    </w:p>
    <w:p w:rsidR="00F12C3C" w:rsidRDefault="00664671">
      <w:pPr>
        <w:pStyle w:val="Heading1"/>
        <w:spacing w:before="156"/>
        <w:ind w:left="0"/>
        <w:rPr>
          <w:rFonts w:eastAsia="SimSun"/>
        </w:rPr>
      </w:pPr>
      <w:r>
        <w:rPr>
          <w:rFonts w:eastAsia="SimSun" w:hint="eastAsia"/>
        </w:rPr>
        <w:t>Reference</w:t>
      </w:r>
      <w:r>
        <w:rPr>
          <w:rFonts w:eastAsia="SimSun"/>
        </w:rPr>
        <w:t>s</w:t>
      </w:r>
    </w:p>
    <w:p w:rsidR="00F12C3C" w:rsidRDefault="00664671">
      <w:pPr>
        <w:pStyle w:val="References"/>
        <w:spacing w:before="120" w:after="120"/>
        <w:ind w:left="363" w:hanging="363"/>
        <w:rPr>
          <w:sz w:val="20"/>
          <w:szCs w:val="20"/>
        </w:rPr>
      </w:pPr>
      <w:bookmarkStart w:id="21" w:name="_Ref8297"/>
      <w:r>
        <w:rPr>
          <w:rFonts w:hint="eastAsia"/>
          <w:sz w:val="20"/>
          <w:szCs w:val="20"/>
        </w:rPr>
        <w:t>Chairman</w:t>
      </w:r>
      <w:r>
        <w:rPr>
          <w:sz w:val="20"/>
          <w:szCs w:val="20"/>
        </w:rPr>
        <w:t>’</w:t>
      </w:r>
      <w:r>
        <w:rPr>
          <w:rFonts w:hint="eastAsia"/>
          <w:sz w:val="20"/>
          <w:szCs w:val="20"/>
        </w:rPr>
        <w:t>s notes, 3GPP, RAN1 #96bis, Xi</w:t>
      </w:r>
      <w:r>
        <w:rPr>
          <w:sz w:val="20"/>
          <w:szCs w:val="20"/>
        </w:rPr>
        <w:t>’</w:t>
      </w:r>
      <w:r>
        <w:rPr>
          <w:rFonts w:hint="eastAsia"/>
          <w:sz w:val="20"/>
          <w:szCs w:val="20"/>
        </w:rPr>
        <w:t>an, China, 8th -12th April, 2019</w:t>
      </w:r>
    </w:p>
    <w:p w:rsidR="00F12C3C" w:rsidRDefault="00664671">
      <w:pPr>
        <w:pStyle w:val="References"/>
        <w:spacing w:before="120" w:after="120"/>
        <w:ind w:left="363" w:hanging="363"/>
        <w:rPr>
          <w:sz w:val="20"/>
          <w:szCs w:val="20"/>
        </w:rPr>
      </w:pPr>
      <w:r>
        <w:rPr>
          <w:rFonts w:hint="eastAsia"/>
          <w:sz w:val="20"/>
          <w:szCs w:val="20"/>
        </w:rPr>
        <w:t>Chairman</w:t>
      </w:r>
      <w:r>
        <w:rPr>
          <w:sz w:val="20"/>
          <w:szCs w:val="20"/>
        </w:rPr>
        <w:t>’</w:t>
      </w:r>
      <w:r>
        <w:rPr>
          <w:rFonts w:hint="eastAsia"/>
          <w:sz w:val="20"/>
          <w:szCs w:val="20"/>
        </w:rPr>
        <w:t>s notes, 3GPP, RAN1 #97, Reno, USA, May 13th</w:t>
      </w:r>
      <w:r>
        <w:rPr>
          <w:rFonts w:hint="eastAsia"/>
          <w:sz w:val="20"/>
          <w:szCs w:val="20"/>
          <w:vertAlign w:val="superscript"/>
        </w:rPr>
        <w:t xml:space="preserve"> </w:t>
      </w:r>
      <w:r>
        <w:rPr>
          <w:rFonts w:hint="eastAsia"/>
          <w:sz w:val="20"/>
          <w:szCs w:val="20"/>
        </w:rPr>
        <w:t>-17th, 2019</w:t>
      </w:r>
    </w:p>
    <w:p w:rsidR="00F12C3C" w:rsidRDefault="00664671">
      <w:pPr>
        <w:pStyle w:val="References"/>
        <w:spacing w:before="120" w:after="120"/>
        <w:ind w:left="363" w:hanging="363"/>
        <w:rPr>
          <w:sz w:val="20"/>
          <w:szCs w:val="20"/>
        </w:rPr>
      </w:pPr>
      <w:r>
        <w:rPr>
          <w:sz w:val="20"/>
          <w:szCs w:val="20"/>
        </w:rPr>
        <w:t>23786-</w:t>
      </w:r>
      <w:r>
        <w:rPr>
          <w:rFonts w:hint="eastAsia"/>
          <w:sz w:val="20"/>
          <w:szCs w:val="20"/>
        </w:rPr>
        <w:t>g</w:t>
      </w:r>
      <w:r>
        <w:rPr>
          <w:sz w:val="20"/>
          <w:szCs w:val="20"/>
        </w:rPr>
        <w:t>10, “</w:t>
      </w:r>
      <w:r>
        <w:rPr>
          <w:sz w:val="20"/>
          <w:szCs w:val="20"/>
          <w:lang w:eastAsia="ko-KR"/>
        </w:rPr>
        <w:t>Study on architecture enhancements for EPS and 5G System to support advanced V2X services”</w:t>
      </w:r>
      <w:r>
        <w:rPr>
          <w:sz w:val="20"/>
          <w:szCs w:val="20"/>
        </w:rPr>
        <w:t>, 3GPP.</w:t>
      </w:r>
    </w:p>
    <w:p w:rsidR="00F12C3C" w:rsidRDefault="00664671">
      <w:pPr>
        <w:pStyle w:val="References"/>
        <w:spacing w:before="120" w:after="120"/>
        <w:ind w:left="363" w:hanging="363"/>
        <w:rPr>
          <w:sz w:val="20"/>
          <w:szCs w:val="20"/>
        </w:rPr>
      </w:pPr>
      <w:r>
        <w:rPr>
          <w:rFonts w:hint="eastAsia"/>
          <w:sz w:val="20"/>
          <w:szCs w:val="20"/>
        </w:rPr>
        <w:t>23287-110</w:t>
      </w:r>
      <w:r>
        <w:rPr>
          <w:sz w:val="20"/>
          <w:szCs w:val="20"/>
        </w:rPr>
        <w:t>, Architecture enhancements for 5G System (5GS) to support</w:t>
      </w:r>
      <w:r>
        <w:rPr>
          <w:rFonts w:hint="eastAsia"/>
          <w:sz w:val="20"/>
          <w:szCs w:val="20"/>
        </w:rPr>
        <w:t xml:space="preserve"> </w:t>
      </w:r>
      <w:r>
        <w:rPr>
          <w:sz w:val="20"/>
          <w:szCs w:val="20"/>
        </w:rPr>
        <w:t>Vehicle-to-Everything (V2X) services,</w:t>
      </w:r>
      <w:r>
        <w:rPr>
          <w:rFonts w:hint="eastAsia"/>
          <w:sz w:val="20"/>
          <w:szCs w:val="20"/>
        </w:rPr>
        <w:t xml:space="preserve"> 3GPP.</w:t>
      </w:r>
    </w:p>
    <w:p w:rsidR="00F12C3C" w:rsidRDefault="00664671">
      <w:pPr>
        <w:pStyle w:val="References"/>
        <w:spacing w:before="120" w:after="120"/>
        <w:ind w:left="363" w:hanging="363"/>
      </w:pPr>
      <w:r>
        <w:rPr>
          <w:rFonts w:hint="eastAsia"/>
          <w:sz w:val="20"/>
          <w:szCs w:val="20"/>
        </w:rPr>
        <w:t>3GPP TS 38.214 V15.3.0, 3GPP.</w:t>
      </w:r>
      <w:bookmarkEnd w:id="21"/>
    </w:p>
    <w:sectPr w:rsidR="00F12C3C" w:rsidSect="00DE6BE9">
      <w:footerReference w:type="default" r:id="rId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C6A" w:rsidRDefault="00110C6A">
      <w:pPr>
        <w:spacing w:after="0" w:line="240" w:lineRule="auto"/>
      </w:pPr>
      <w:r>
        <w:separator/>
      </w:r>
    </w:p>
  </w:endnote>
  <w:endnote w:type="continuationSeparator" w:id="0">
    <w:p w:rsidR="00110C6A" w:rsidRDefault="00110C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344651"/>
      <w:docPartObj>
        <w:docPartGallery w:val="Page Numbers (Bottom of Page)"/>
        <w:docPartUnique/>
      </w:docPartObj>
    </w:sdtPr>
    <w:sdtEndPr>
      <w:rPr>
        <w:noProof/>
      </w:rPr>
    </w:sdtEndPr>
    <w:sdtContent>
      <w:p w:rsidR="006078F3" w:rsidRDefault="00DE6BE9">
        <w:pPr>
          <w:pStyle w:val="Footer"/>
          <w:jc w:val="center"/>
        </w:pPr>
        <w:r>
          <w:fldChar w:fldCharType="begin"/>
        </w:r>
        <w:r w:rsidR="006078F3">
          <w:instrText xml:space="preserve"> PAGE   \* MERGEFORMAT </w:instrText>
        </w:r>
        <w:r>
          <w:fldChar w:fldCharType="separate"/>
        </w:r>
        <w:r w:rsidR="00CD4CA0">
          <w:rPr>
            <w:noProof/>
          </w:rPr>
          <w:t>2</w:t>
        </w:r>
        <w:r>
          <w:rPr>
            <w:noProof/>
          </w:rPr>
          <w:fldChar w:fldCharType="end"/>
        </w:r>
      </w:p>
    </w:sdtContent>
  </w:sdt>
  <w:p w:rsidR="00F12C3C" w:rsidRDefault="00F12C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C6A" w:rsidRDefault="00110C6A">
      <w:pPr>
        <w:spacing w:after="0" w:line="240" w:lineRule="auto"/>
      </w:pPr>
      <w:r>
        <w:separator/>
      </w:r>
    </w:p>
  </w:footnote>
  <w:footnote w:type="continuationSeparator" w:id="0">
    <w:p w:rsidR="00110C6A" w:rsidRDefault="00110C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0E964790"/>
    <w:multiLevelType w:val="multilevel"/>
    <w:tmpl w:val="0E964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896A3B"/>
    <w:multiLevelType w:val="multilevel"/>
    <w:tmpl w:val="11896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AF5A94A"/>
    <w:multiLevelType w:val="singleLevel"/>
    <w:tmpl w:val="4AF5A94A"/>
    <w:lvl w:ilvl="0">
      <w:start w:val="1"/>
      <w:numFmt w:val="decimal"/>
      <w:pStyle w:val="YJ-Observation"/>
      <w:lvlText w:val="Oberservation %1:"/>
      <w:lvlJc w:val="left"/>
      <w:pPr>
        <w:tabs>
          <w:tab w:val="left" w:pos="0"/>
        </w:tabs>
        <w:ind w:left="0" w:firstLine="0"/>
      </w:pPr>
      <w:rPr>
        <w:rFonts w:ascii="Times New Roman" w:eastAsia="SimSun" w:hAnsi="Times New Roman" w:cs="Times New Roman" w:hint="default"/>
        <w:b/>
        <w:bCs/>
        <w:i/>
        <w:iCs/>
      </w:rPr>
    </w:lvl>
  </w:abstractNum>
  <w:abstractNum w:abstractNumId="6">
    <w:nsid w:val="5DAF3C20"/>
    <w:multiLevelType w:val="multilevel"/>
    <w:tmpl w:val="5DAF3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6"/>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bordersDoNotSurroundHeader/>
  <w:bordersDoNotSurroundFooter/>
  <w:proofState w:spelling="clean" w:grammar="clean"/>
  <w:stylePaneFormatFilter w:val="3F01"/>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E787F"/>
    <w:rsid w:val="00110C6A"/>
    <w:rsid w:val="00172A27"/>
    <w:rsid w:val="001844E8"/>
    <w:rsid w:val="00200BD1"/>
    <w:rsid w:val="00594736"/>
    <w:rsid w:val="006078F3"/>
    <w:rsid w:val="00664671"/>
    <w:rsid w:val="00687BA4"/>
    <w:rsid w:val="006954E6"/>
    <w:rsid w:val="006979C2"/>
    <w:rsid w:val="0094671F"/>
    <w:rsid w:val="00B22ACA"/>
    <w:rsid w:val="00CD4CA0"/>
    <w:rsid w:val="00DE6BE9"/>
    <w:rsid w:val="00EC29AF"/>
    <w:rsid w:val="00F12C3C"/>
    <w:rsid w:val="00F3473C"/>
    <w:rsid w:val="00FC4BB9"/>
    <w:rsid w:val="014B4624"/>
    <w:rsid w:val="020B749A"/>
    <w:rsid w:val="024D6B6A"/>
    <w:rsid w:val="029B04E7"/>
    <w:rsid w:val="055F1AEA"/>
    <w:rsid w:val="059667B3"/>
    <w:rsid w:val="05E078B3"/>
    <w:rsid w:val="0B9E71DF"/>
    <w:rsid w:val="0F90112F"/>
    <w:rsid w:val="107144A4"/>
    <w:rsid w:val="122B7B02"/>
    <w:rsid w:val="14DA3DA1"/>
    <w:rsid w:val="18B41DD9"/>
    <w:rsid w:val="1A054259"/>
    <w:rsid w:val="1C132CB9"/>
    <w:rsid w:val="1E9D6342"/>
    <w:rsid w:val="223977C8"/>
    <w:rsid w:val="24507184"/>
    <w:rsid w:val="24DF76A6"/>
    <w:rsid w:val="25134332"/>
    <w:rsid w:val="26FA53E6"/>
    <w:rsid w:val="271F7039"/>
    <w:rsid w:val="291D26AC"/>
    <w:rsid w:val="29FA7F26"/>
    <w:rsid w:val="2A2C00B8"/>
    <w:rsid w:val="2B72182E"/>
    <w:rsid w:val="2DB222BD"/>
    <w:rsid w:val="30962F3E"/>
    <w:rsid w:val="359E2276"/>
    <w:rsid w:val="361F3323"/>
    <w:rsid w:val="37696177"/>
    <w:rsid w:val="3784394E"/>
    <w:rsid w:val="3ACB5746"/>
    <w:rsid w:val="3B9C4B57"/>
    <w:rsid w:val="3BCD5793"/>
    <w:rsid w:val="3CC804CF"/>
    <w:rsid w:val="3FC956FF"/>
    <w:rsid w:val="41F466FD"/>
    <w:rsid w:val="440C72CB"/>
    <w:rsid w:val="440D5045"/>
    <w:rsid w:val="460C5979"/>
    <w:rsid w:val="46EE3A4C"/>
    <w:rsid w:val="47C01792"/>
    <w:rsid w:val="4AC31003"/>
    <w:rsid w:val="4AE93159"/>
    <w:rsid w:val="4BF536EF"/>
    <w:rsid w:val="4E27683A"/>
    <w:rsid w:val="4F1753E1"/>
    <w:rsid w:val="4FA271C1"/>
    <w:rsid w:val="51867298"/>
    <w:rsid w:val="51E445E4"/>
    <w:rsid w:val="53DB3477"/>
    <w:rsid w:val="58500F22"/>
    <w:rsid w:val="5A675A7E"/>
    <w:rsid w:val="5D0772C2"/>
    <w:rsid w:val="5DFD51DB"/>
    <w:rsid w:val="5E606D7B"/>
    <w:rsid w:val="607C3753"/>
    <w:rsid w:val="60C30855"/>
    <w:rsid w:val="61421EFD"/>
    <w:rsid w:val="615C5041"/>
    <w:rsid w:val="664805B8"/>
    <w:rsid w:val="6918356B"/>
    <w:rsid w:val="6C89456C"/>
    <w:rsid w:val="6CEC03D0"/>
    <w:rsid w:val="6FA629D4"/>
    <w:rsid w:val="7451565A"/>
    <w:rsid w:val="780D4073"/>
    <w:rsid w:val="7C26369C"/>
    <w:rsid w:val="7CBA027B"/>
    <w:rsid w:val="7D62117D"/>
    <w:rsid w:val="7E3E1EF2"/>
    <w:rsid w:val="7EF74FC9"/>
    <w:rsid w:val="7EFE5498"/>
    <w:rsid w:val="7FE464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header" w:semiHidden="0" w:uiPriority="0" w:unhideWhenUsed="0" w:qFormat="1"/>
    <w:lsdException w:name="footer" w:semiHidden="0" w:qFormat="1"/>
    <w:lsdException w:name="Title" w:semiHidden="0" w:unhideWhenUsed="0"/>
    <w:lsdException w:name="Default Paragraph Font" w:uiPriority="1" w:qFormat="1"/>
    <w:lsdException w:name="Subtitle" w:semiHidden="0" w:unhideWhenUsed="0"/>
    <w:lsdException w:name="Hyperlink" w:semiHidden="0" w:qFormat="1"/>
    <w:lsdException w:name="Strong" w:semiHidden="0" w:unhideWhenUsed="0"/>
    <w:lsdException w:name="Emphasis" w:semiHidden="0" w:unhideWhenUsed="0"/>
    <w:lsdException w:name="Normal Table"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BE9"/>
    <w:pPr>
      <w:jc w:val="both"/>
    </w:pPr>
    <w:rPr>
      <w:rFonts w:ascii="Times New Roman" w:eastAsia="SimSun" w:hAnsi="Times New Roman" w:cs="Times New Roman"/>
      <w:kern w:val="2"/>
      <w:sz w:val="21"/>
    </w:rPr>
  </w:style>
  <w:style w:type="paragraph" w:styleId="Heading1">
    <w:name w:val="heading 1"/>
    <w:basedOn w:val="Normal"/>
    <w:next w:val="Normal"/>
    <w:qFormat/>
    <w:rsid w:val="00DE6BE9"/>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E6BE9"/>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E6BE9"/>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DE6BE9"/>
    <w:pPr>
      <w:spacing w:after="0" w:line="240" w:lineRule="auto"/>
    </w:pPr>
    <w:rPr>
      <w:rFonts w:ascii="Segoe UI" w:hAnsi="Segoe UI" w:cs="Segoe UI"/>
      <w:sz w:val="18"/>
      <w:szCs w:val="18"/>
    </w:rPr>
  </w:style>
  <w:style w:type="paragraph" w:styleId="Footer">
    <w:name w:val="footer"/>
    <w:basedOn w:val="Header"/>
    <w:link w:val="FooterChar"/>
    <w:uiPriority w:val="99"/>
    <w:unhideWhenUsed/>
    <w:qFormat/>
    <w:rsid w:val="00DE6BE9"/>
    <w:pPr>
      <w:tabs>
        <w:tab w:val="center" w:pos="4153"/>
        <w:tab w:val="right" w:pos="8306"/>
      </w:tabs>
      <w:snapToGrid w:val="0"/>
    </w:pPr>
    <w:rPr>
      <w:szCs w:val="18"/>
    </w:rPr>
  </w:style>
  <w:style w:type="paragraph" w:styleId="Header">
    <w:name w:val="header"/>
    <w:qFormat/>
    <w:rsid w:val="00DE6BE9"/>
    <w:pPr>
      <w:widowControl w:val="0"/>
      <w:overflowPunct w:val="0"/>
      <w:autoSpaceDE w:val="0"/>
      <w:autoSpaceDN w:val="0"/>
      <w:adjustRightInd w:val="0"/>
      <w:spacing w:after="200" w:line="276" w:lineRule="auto"/>
      <w:textAlignment w:val="baseline"/>
    </w:pPr>
    <w:rPr>
      <w:rFonts w:ascii="Arial" w:eastAsia="SimSun" w:hAnsi="Arial" w:cs="Times New Roman"/>
      <w:b/>
      <w:sz w:val="18"/>
      <w:lang w:eastAsia="en-US"/>
    </w:rPr>
  </w:style>
  <w:style w:type="paragraph" w:styleId="TOC1">
    <w:name w:val="toc 1"/>
    <w:basedOn w:val="Normal"/>
    <w:next w:val="Normal"/>
    <w:uiPriority w:val="39"/>
    <w:unhideWhenUsed/>
    <w:qFormat/>
    <w:rsid w:val="00DE6BE9"/>
    <w:rPr>
      <w:rFonts w:eastAsiaTheme="minorEastAsia"/>
      <w:b/>
      <w:i/>
      <w:sz w:val="20"/>
    </w:rPr>
  </w:style>
  <w:style w:type="character" w:styleId="Hyperlink">
    <w:name w:val="Hyperlink"/>
    <w:basedOn w:val="DefaultParagraphFont"/>
    <w:uiPriority w:val="99"/>
    <w:unhideWhenUsed/>
    <w:qFormat/>
    <w:rsid w:val="00DE6BE9"/>
    <w:rPr>
      <w:color w:val="0000FF" w:themeColor="hyperlink"/>
      <w:u w:val="single"/>
    </w:rPr>
  </w:style>
  <w:style w:type="paragraph" w:customStyle="1" w:styleId="YJ-Proposal">
    <w:name w:val="YJ-Proposal"/>
    <w:basedOn w:val="Normal"/>
    <w:qFormat/>
    <w:rsid w:val="00DE6BE9"/>
    <w:pPr>
      <w:numPr>
        <w:numId w:val="2"/>
      </w:numPr>
    </w:pPr>
    <w:rPr>
      <w:rFonts w:eastAsiaTheme="minorEastAsia"/>
      <w:b/>
      <w:bCs/>
      <w:i/>
      <w:iCs/>
      <w:sz w:val="20"/>
      <w:lang w:val="en-GB" w:eastAsia="en-US"/>
    </w:rPr>
  </w:style>
  <w:style w:type="paragraph" w:customStyle="1" w:styleId="References">
    <w:name w:val="References"/>
    <w:basedOn w:val="Normal"/>
    <w:qFormat/>
    <w:rsid w:val="00DE6BE9"/>
    <w:pPr>
      <w:numPr>
        <w:numId w:val="3"/>
      </w:numPr>
      <w:spacing w:after="60"/>
    </w:pPr>
    <w:rPr>
      <w:szCs w:val="16"/>
    </w:rPr>
  </w:style>
  <w:style w:type="paragraph" w:customStyle="1" w:styleId="YJ-Observation">
    <w:name w:val="YJ-Observation"/>
    <w:basedOn w:val="YJ-Proposal"/>
    <w:qFormat/>
    <w:rsid w:val="00DE6BE9"/>
    <w:pPr>
      <w:numPr>
        <w:numId w:val="4"/>
      </w:numPr>
      <w:tabs>
        <w:tab w:val="left" w:pos="420"/>
      </w:tabs>
    </w:pPr>
  </w:style>
  <w:style w:type="paragraph" w:styleId="ListParagraph">
    <w:name w:val="List Paragraph"/>
    <w:basedOn w:val="Normal"/>
    <w:uiPriority w:val="34"/>
    <w:qFormat/>
    <w:rsid w:val="00DE6BE9"/>
    <w:pPr>
      <w:spacing w:after="0" w:line="240" w:lineRule="auto"/>
      <w:ind w:left="720"/>
      <w:contextualSpacing/>
    </w:pPr>
    <w:rPr>
      <w:rFonts w:eastAsia="Times New Roman"/>
      <w:sz w:val="24"/>
      <w:szCs w:val="24"/>
    </w:rPr>
  </w:style>
  <w:style w:type="paragraph" w:customStyle="1" w:styleId="Style2">
    <w:name w:val="_Style 2"/>
    <w:basedOn w:val="Normal"/>
    <w:uiPriority w:val="34"/>
    <w:qFormat/>
    <w:rsid w:val="00DE6BE9"/>
    <w:pPr>
      <w:ind w:leftChars="400" w:left="840"/>
    </w:pPr>
  </w:style>
  <w:style w:type="character" w:customStyle="1" w:styleId="BalloonTextChar">
    <w:name w:val="Balloon Text Char"/>
    <w:basedOn w:val="DefaultParagraphFont"/>
    <w:link w:val="BalloonText"/>
    <w:uiPriority w:val="99"/>
    <w:semiHidden/>
    <w:qFormat/>
    <w:rsid w:val="00DE6BE9"/>
    <w:rPr>
      <w:rFonts w:ascii="Segoe UI" w:eastAsia="SimSun" w:hAnsi="Segoe UI" w:cs="Segoe UI"/>
      <w:kern w:val="2"/>
      <w:sz w:val="18"/>
      <w:szCs w:val="18"/>
    </w:rPr>
  </w:style>
  <w:style w:type="character" w:customStyle="1" w:styleId="FooterChar">
    <w:name w:val="Footer Char"/>
    <w:basedOn w:val="DefaultParagraphFont"/>
    <w:link w:val="Footer"/>
    <w:uiPriority w:val="99"/>
    <w:qFormat/>
    <w:rsid w:val="00DE6BE9"/>
    <w:rPr>
      <w:rFonts w:ascii="Arial" w:eastAsia="SimSun" w:hAnsi="Arial"/>
      <w:b/>
      <w:sz w:val="18"/>
      <w:szCs w:val="18"/>
      <w:lang w:eastAsia="en-US"/>
    </w:rPr>
  </w:style>
  <w:style w:type="paragraph" w:customStyle="1" w:styleId="3GPPText">
    <w:name w:val="3GPP Text"/>
    <w:basedOn w:val="Normal"/>
    <w:qFormat/>
    <w:rsid w:val="00DE6BE9"/>
    <w:pPr>
      <w:overflowPunct w:val="0"/>
      <w:autoSpaceDE w:val="0"/>
      <w:autoSpaceDN w:val="0"/>
      <w:adjustRightInd w:val="0"/>
      <w:spacing w:before="120" w:after="120"/>
      <w:textAlignment w:val="baseline"/>
    </w:pPr>
    <w:rPr>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985</Words>
  <Characters>5261</Characters>
  <Application>Microsoft Office Word</Application>
  <DocSecurity>0</DocSecurity>
  <Lines>43</Lines>
  <Paragraphs>12</Paragraphs>
  <ScaleCrop>false</ScaleCrop>
  <Company/>
  <LinksUpToDate>false</LinksUpToDate>
  <CharactersWithSpaces>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8</cp:revision>
  <dcterms:created xsi:type="dcterms:W3CDTF">2019-04-08T03:09:00Z</dcterms:created>
  <dcterms:modified xsi:type="dcterms:W3CDTF">2019-08-16T19:49:00Z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